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乐山市五通桥区人民医院</w:t>
      </w:r>
    </w:p>
    <w:p>
      <w:pPr>
        <w:pStyle w:val="7"/>
        <w:rPr>
          <w:rFonts w:hint="eastAsia" w:ascii="黑体" w:hAnsi="黑体" w:eastAsia="黑体" w:cs="黑体"/>
          <w:lang w:eastAsia="zh-CN"/>
        </w:rPr>
      </w:pPr>
    </w:p>
    <w:p>
      <w:pPr>
        <w:jc w:val="center"/>
        <w:rPr>
          <w:rFonts w:hint="eastAsia" w:ascii="黑体" w:hAnsi="黑体" w:eastAsia="黑体" w:cs="黑体"/>
          <w:sz w:val="32"/>
          <w:szCs w:val="32"/>
          <w:lang w:eastAsia="zh-CN"/>
        </w:rPr>
      </w:pPr>
      <w:r>
        <w:rPr>
          <w:rFonts w:hint="eastAsia" w:ascii="黑体" w:hAnsi="黑体" w:eastAsia="黑体" w:cs="黑体"/>
          <w:color w:val="auto"/>
          <w:sz w:val="52"/>
          <w:szCs w:val="52"/>
          <w:lang w:val="en-US" w:eastAsia="zh-CN"/>
        </w:rPr>
        <w:t>询价采购</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40"/>
          <w:szCs w:val="40"/>
          <w:lang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项目名称：</w:t>
      </w:r>
      <w:r>
        <w:rPr>
          <w:rFonts w:hint="eastAsia" w:ascii="黑体" w:hAnsi="黑体" w:eastAsia="黑体" w:cs="黑体"/>
          <w:sz w:val="40"/>
          <w:szCs w:val="40"/>
          <w:lang w:val="en-US" w:eastAsia="zh-CN"/>
        </w:rPr>
        <w:t>医用手套类耗材院内询价采购</w:t>
      </w:r>
    </w:p>
    <w:p>
      <w:pPr>
        <w:pStyle w:val="7"/>
        <w:rPr>
          <w:rFonts w:hint="eastAsia" w:ascii="黑体" w:hAnsi="黑体" w:eastAsia="黑体" w:cs="黑体"/>
          <w:lang w:val="en-US"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项目编号：</w:t>
      </w:r>
      <w:r>
        <w:rPr>
          <w:rFonts w:hint="eastAsia" w:ascii="黑体" w:hAnsi="黑体" w:eastAsia="黑体" w:cs="黑体"/>
          <w:sz w:val="40"/>
          <w:szCs w:val="40"/>
          <w:lang w:val="en-US" w:eastAsia="zh-CN"/>
        </w:rPr>
        <w:t>YNCG020</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2023年 12 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乐山市五通桥区人民医院</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院内</w:t>
      </w:r>
      <w:r>
        <w:rPr>
          <w:rFonts w:hint="eastAsia" w:ascii="黑体" w:hAnsi="黑体" w:eastAsia="黑体" w:cs="黑体"/>
          <w:color w:val="auto"/>
          <w:sz w:val="36"/>
          <w:szCs w:val="36"/>
          <w:lang w:eastAsia="zh-CN"/>
        </w:rPr>
        <w:t>询价</w:t>
      </w:r>
      <w:r>
        <w:rPr>
          <w:rFonts w:hint="eastAsia" w:ascii="黑体" w:hAnsi="黑体" w:eastAsia="黑体" w:cs="黑体"/>
          <w:sz w:val="36"/>
          <w:szCs w:val="36"/>
          <w:lang w:eastAsia="zh-CN"/>
        </w:rPr>
        <w:t>采购公告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项目采购编号：</w:t>
      </w:r>
      <w:r>
        <w:rPr>
          <w:rFonts w:hint="eastAsia" w:ascii="仿宋" w:hAnsi="仿宋" w:eastAsia="仿宋" w:cs="仿宋"/>
          <w:color w:val="555555"/>
          <w:kern w:val="0"/>
          <w:sz w:val="32"/>
          <w:szCs w:val="32"/>
          <w:lang w:val="en-US" w:eastAsia="zh-CN"/>
        </w:rPr>
        <w:t xml:space="preserve"> YNCG020     ，项目包数量：1个</w:t>
      </w:r>
    </w:p>
    <w:p>
      <w:pPr>
        <w:pStyle w:val="16"/>
        <w:spacing w:line="240" w:lineRule="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二、项目背景：对院内医用手套类耗材进行询价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三、采购项目内容（详细要求请看附件）：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三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5"/>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以上资料至少2套，请满足上述资质要求的供应商于</w:t>
      </w:r>
      <w:bookmarkStart w:id="16" w:name="_GoBack"/>
      <w:bookmarkEnd w:id="16"/>
      <w:r>
        <w:rPr>
          <w:rFonts w:hint="eastAsia" w:ascii="仿宋" w:hAnsi="仿宋" w:eastAsia="仿宋" w:cs="仿宋"/>
          <w:color w:val="FF0000"/>
          <w:kern w:val="0"/>
          <w:sz w:val="32"/>
          <w:szCs w:val="32"/>
          <w:lang w:val="en-US" w:eastAsia="zh-CN"/>
        </w:rPr>
        <w:t>2023年12 月 15日17:00</w:t>
      </w:r>
      <w:r>
        <w:rPr>
          <w:rFonts w:hint="eastAsia" w:ascii="仿宋" w:hAnsi="仿宋" w:eastAsia="仿宋" w:cs="仿宋"/>
          <w:color w:val="auto"/>
          <w:kern w:val="0"/>
          <w:sz w:val="32"/>
          <w:szCs w:val="32"/>
          <w:lang w:val="en-US" w:eastAsia="zh-CN"/>
        </w:rPr>
        <w:t>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1.方案报价在60日内有效，报价包括文件编制、差旅、人工等费用。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auto"/>
          <w:kern w:val="0"/>
          <w:sz w:val="32"/>
          <w:szCs w:val="32"/>
          <w:lang w:val="en-US" w:eastAsia="zh-CN"/>
        </w:rPr>
        <w:t>2.在供应商满足相关资质要求及服务要求的条件下，采购采用综合评分法</w:t>
      </w:r>
      <w:r>
        <w:rPr>
          <w:rFonts w:hint="eastAsia" w:ascii="仿宋" w:hAnsi="仿宋" w:eastAsia="仿宋" w:cs="仿宋"/>
          <w:color w:val="555555"/>
          <w:kern w:val="0"/>
          <w:sz w:val="32"/>
          <w:szCs w:val="32"/>
          <w:lang w:val="en-US" w:eastAsia="zh-CN"/>
        </w:rPr>
        <w:t>，中标结果由医院网站公示，中标公司请在公示后30日内到采购办签订合同，超过公示后30日不响应签订合同的视为放弃中标资格。</w:t>
      </w:r>
    </w:p>
    <w:p>
      <w:pPr>
        <w:pStyle w:val="16"/>
        <w:spacing w:line="240" w:lineRule="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3.本项目不接受联合体，不允许分包。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rPr>
        <w:t>联系人</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蒋</w:t>
      </w:r>
      <w:r>
        <w:rPr>
          <w:rFonts w:hint="eastAsia" w:ascii="仿宋" w:hAnsi="仿宋" w:eastAsia="仿宋" w:cs="仿宋"/>
          <w:color w:val="auto"/>
          <w:kern w:val="0"/>
          <w:sz w:val="32"/>
          <w:szCs w:val="32"/>
          <w:lang w:eastAsia="zh-CN"/>
        </w:rPr>
        <w:t>老师</w:t>
      </w:r>
      <w:r>
        <w:rPr>
          <w:rFonts w:hint="eastAsia" w:ascii="仿宋" w:hAnsi="仿宋" w:eastAsia="仿宋" w:cs="仿宋"/>
          <w:color w:val="auto"/>
          <w:kern w:val="0"/>
          <w:sz w:val="32"/>
          <w:szCs w:val="32"/>
        </w:rPr>
        <w:t xml:space="preserve"> </w:t>
      </w:r>
      <w:r>
        <w:rPr>
          <w:rFonts w:hint="eastAsia" w:ascii="仿宋" w:hAnsi="仿宋" w:eastAsia="仿宋" w:cs="仿宋"/>
          <w:color w:val="555555"/>
          <w:kern w:val="0"/>
          <w:sz w:val="32"/>
          <w:szCs w:val="32"/>
          <w:lang w:val="en-US" w:eastAsia="zh-CN"/>
        </w:rPr>
        <w:t xml:space="preserve">      </w:t>
      </w:r>
      <w:r>
        <w:rPr>
          <w:rFonts w:hint="eastAsia" w:ascii="仿宋" w:hAnsi="仿宋" w:eastAsia="仿宋" w:cs="仿宋"/>
          <w:color w:val="555555"/>
          <w:kern w:val="0"/>
          <w:sz w:val="32"/>
          <w:szCs w:val="32"/>
        </w:rPr>
        <w:t>联系电话:</w:t>
      </w:r>
      <w:r>
        <w:rPr>
          <w:rFonts w:hint="eastAsia" w:ascii="仿宋" w:hAnsi="仿宋" w:eastAsia="仿宋" w:cs="仿宋"/>
          <w:color w:val="555555"/>
          <w:kern w:val="0"/>
          <w:sz w:val="32"/>
          <w:szCs w:val="32"/>
          <w:lang w:val="en-US" w:eastAsia="zh-CN"/>
        </w:rPr>
        <w:t>0833-3211269</w:t>
      </w:r>
    </w:p>
    <w:p>
      <w:pPr>
        <w:rPr>
          <w:rFonts w:hint="eastAsia" w:ascii="黑体" w:hAnsi="黑体" w:eastAsia="黑体" w:cs="黑体"/>
          <w:b/>
          <w:bCs/>
          <w:color w:val="auto"/>
          <w:sz w:val="72"/>
          <w:szCs w:val="72"/>
          <w:lang w:val="en-US" w:eastAsia="zh-CN"/>
        </w:rPr>
      </w:pP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5"/>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31"/>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w:t>
      </w:r>
      <w:r>
        <w:rPr>
          <w:rFonts w:hint="eastAsia" w:ascii="仿宋" w:hAnsi="仿宋" w:eastAsia="仿宋" w:cs="仿宋"/>
          <w:color w:val="auto"/>
          <w:sz w:val="32"/>
          <w:szCs w:val="32"/>
        </w:rPr>
        <w:t>过</w:t>
      </w:r>
      <w:r>
        <w:rPr>
          <w:rFonts w:hint="eastAsia" w:ascii="仿宋" w:hAnsi="仿宋" w:eastAsia="仿宋" w:cs="仿宋"/>
          <w:color w:val="auto"/>
          <w:sz w:val="32"/>
          <w:szCs w:val="32"/>
          <w:lang w:val="en-US" w:eastAsia="zh-CN"/>
        </w:rPr>
        <w:t>综合评分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w:t>
      </w:r>
      <w:r>
        <w:rPr>
          <w:rFonts w:hint="eastAsia" w:ascii="仿宋" w:hAnsi="仿宋" w:eastAsia="仿宋" w:cs="仿宋"/>
          <w:sz w:val="32"/>
          <w:szCs w:val="32"/>
          <w:lang w:val="en-US" w:eastAsia="zh-CN"/>
        </w:rPr>
        <w:t>医用手套类耗材院内采购</w:t>
      </w:r>
      <w:r>
        <w:rPr>
          <w:rFonts w:hint="eastAsia" w:ascii="仿宋" w:hAnsi="仿宋" w:eastAsia="仿宋" w:cs="仿宋"/>
          <w:sz w:val="32"/>
          <w:szCs w:val="32"/>
        </w:rPr>
        <w:t xml:space="preserve"> ”，“项目编号：</w:t>
      </w:r>
      <w:r>
        <w:rPr>
          <w:rFonts w:hint="eastAsia" w:ascii="仿宋" w:hAnsi="仿宋" w:eastAsia="仿宋" w:cs="仿宋"/>
          <w:color w:val="555555"/>
          <w:kern w:val="0"/>
          <w:sz w:val="32"/>
          <w:szCs w:val="32"/>
          <w:lang w:val="en-US" w:eastAsia="zh-CN"/>
        </w:rPr>
        <w:t xml:space="preserve">YNCG020 </w:t>
      </w:r>
      <w:r>
        <w:rPr>
          <w:rFonts w:hint="eastAsia" w:ascii="仿宋" w:hAnsi="仿宋" w:eastAsia="仿宋" w:cs="仿宋"/>
          <w:sz w:val="32"/>
          <w:szCs w:val="32"/>
        </w:rPr>
        <w:t xml:space="preserve"> ”，“询价响应文件”，“于</w:t>
      </w:r>
      <w:r>
        <w:rPr>
          <w:rFonts w:hint="eastAsia" w:ascii="仿宋" w:hAnsi="仿宋" w:eastAsia="仿宋" w:cs="仿宋"/>
          <w:sz w:val="32"/>
          <w:szCs w:val="32"/>
          <w:lang w:val="en-US" w:eastAsia="zh-CN"/>
        </w:rPr>
        <w:t>2023</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 w:hAnsi="仿宋" w:eastAsia="仿宋" w:cs="仿宋"/>
          <w:sz w:val="32"/>
          <w:szCs w:val="32"/>
          <w:lang w:val="en-US" w:eastAsia="zh-CN"/>
        </w:rPr>
        <w:t>30</w:t>
      </w:r>
      <w:r>
        <w:rPr>
          <w:rFonts w:hint="eastAsia" w:ascii="仿宋" w:hAnsi="仿宋" w:eastAsia="仿宋" w:cs="仿宋"/>
          <w:sz w:val="32"/>
          <w:szCs w:val="32"/>
        </w:rPr>
        <w:t xml:space="preserve"> 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通过资格审查和符合性审查供应商数量不足三家的，本次采购活动终止。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负偏离。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auto"/>
          <w:sz w:val="32"/>
          <w:szCs w:val="32"/>
          <w:lang w:eastAsia="zh-CN"/>
        </w:rPr>
        <w:t>综合评分最高</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auto"/>
          <w:sz w:val="32"/>
          <w:szCs w:val="32"/>
          <w:lang w:eastAsia="zh-CN"/>
        </w:rPr>
        <w:t>综合评分最高</w:t>
      </w:r>
      <w:r>
        <w:rPr>
          <w:rFonts w:hint="eastAsia" w:ascii="仿宋" w:hAnsi="仿宋" w:eastAsia="仿宋" w:cs="仿宋"/>
          <w:color w:val="000000"/>
          <w:sz w:val="32"/>
          <w:szCs w:val="32"/>
        </w:rPr>
        <w:t>原则确定成交供应商。</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5"/>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询价采购文件</w:t>
      </w:r>
    </w:p>
    <w:p>
      <w:pPr>
        <w:rPr>
          <w:rFonts w:hint="eastAsia" w:ascii="黑体" w:hAnsi="黑体" w:eastAsia="黑体" w:cs="黑体"/>
          <w:sz w:val="84"/>
          <w:szCs w:val="84"/>
          <w:lang w:val="en-US" w:eastAsia="zh-CN"/>
        </w:rPr>
      </w:pPr>
    </w:p>
    <w:p>
      <w:pPr>
        <w:pStyle w:val="5"/>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5773"/>
      <w:bookmarkStart w:id="1" w:name="_Toc25737"/>
      <w:bookmarkStart w:id="2" w:name="_Toc18458"/>
      <w:bookmarkStart w:id="3" w:name="_Toc9490"/>
      <w:r>
        <w:rPr>
          <w:rFonts w:hint="eastAsia" w:ascii="黑体" w:hAnsi="黑体" w:eastAsia="黑体" w:cs="黑体"/>
          <w:b/>
          <w:bCs/>
          <w:sz w:val="32"/>
          <w:szCs w:val="32"/>
        </w:rPr>
        <w:br w:type="page"/>
      </w:r>
    </w:p>
    <w:bookmarkEnd w:id="0"/>
    <w:bookmarkEnd w:id="1"/>
    <w:bookmarkEnd w:id="2"/>
    <w:bookmarkEnd w:id="3"/>
    <w:p>
      <w:pPr>
        <w:numPr>
          <w:ilvl w:val="0"/>
          <w:numId w:val="2"/>
        </w:numPr>
        <w:jc w:val="center"/>
        <w:rPr>
          <w:rFonts w:hint="eastAsia" w:ascii="黑体" w:hAnsi="黑体" w:eastAsia="黑体" w:cs="黑体"/>
          <w:b/>
          <w:sz w:val="36"/>
          <w:szCs w:val="36"/>
          <w:lang w:val="en-US" w:eastAsia="zh-CN"/>
        </w:rPr>
      </w:pPr>
      <w:bookmarkStart w:id="4" w:name="_Toc12449"/>
      <w:bookmarkStart w:id="5" w:name="_Toc4003"/>
      <w:bookmarkStart w:id="6" w:name="_Toc17549"/>
      <w:bookmarkStart w:id="7" w:name="_Toc439699516"/>
      <w:r>
        <w:rPr>
          <w:rFonts w:hint="eastAsia" w:ascii="黑体" w:hAnsi="黑体" w:eastAsia="黑体" w:cs="黑体"/>
          <w:b/>
          <w:sz w:val="36"/>
          <w:szCs w:val="36"/>
          <w:lang w:val="en-US" w:eastAsia="zh-CN"/>
        </w:rPr>
        <w:t>采购资质要求</w:t>
      </w:r>
    </w:p>
    <w:p>
      <w:pPr>
        <w:pStyle w:val="5"/>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7"/>
        <w:tblpPr w:leftFromText="180" w:rightFromText="180" w:vertAnchor="text" w:horzAnchor="page" w:tblpX="1302" w:tblpY="371"/>
        <w:tblOverlap w:val="never"/>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421"/>
        <w:gridCol w:w="10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公司</w:t>
            </w:r>
            <w:r>
              <w:rPr>
                <w:rFonts w:hint="eastAsia" w:ascii="仿宋" w:hAnsi="仿宋" w:eastAsia="仿宋" w:cs="仿宋"/>
                <w:color w:val="000000"/>
                <w:spacing w:val="2"/>
                <w:sz w:val="32"/>
                <w:szCs w:val="32"/>
                <w:lang w:eastAsia="zh-CN"/>
              </w:rPr>
              <w:t>三证、</w:t>
            </w:r>
            <w:r>
              <w:rPr>
                <w:rFonts w:hint="eastAsia" w:ascii="仿宋" w:hAnsi="仿宋" w:eastAsia="仿宋" w:cs="仿宋"/>
                <w:color w:val="000000"/>
                <w:spacing w:val="2"/>
                <w:sz w:val="32"/>
                <w:szCs w:val="32"/>
                <w:lang w:val="en-US" w:eastAsia="zh-CN"/>
              </w:rPr>
              <w:t>厂家</w:t>
            </w: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3</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2023年以来任意三个月的缴纳税收和社保资金证明材料（银行缴款证明或税收机关、社保机关盖章的证明文件）</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4</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5</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供应商通过“信用中国”(</w:t>
            </w:r>
            <w:r>
              <w:rPr>
                <w:rFonts w:hint="eastAsia" w:ascii="仿宋" w:hAnsi="仿宋" w:eastAsia="仿宋" w:cs="仿宋"/>
                <w:color w:val="000000"/>
                <w:spacing w:val="2"/>
                <w:sz w:val="32"/>
                <w:szCs w:val="32"/>
                <w:lang w:eastAsia="zh-CN"/>
              </w:rPr>
              <w:fldChar w:fldCharType="begin"/>
            </w:r>
            <w:r>
              <w:rPr>
                <w:rFonts w:hint="eastAsia" w:ascii="仿宋" w:hAnsi="仿宋" w:eastAsia="仿宋" w:cs="仿宋"/>
                <w:color w:val="000000"/>
                <w:spacing w:val="2"/>
                <w:sz w:val="32"/>
                <w:szCs w:val="32"/>
                <w:lang w:eastAsia="zh-CN"/>
              </w:rPr>
              <w:instrText xml:space="preserve"> HYPERLINK "http://www.creditchina.gov.cn)" </w:instrText>
            </w:r>
            <w:r>
              <w:rPr>
                <w:rFonts w:hint="eastAsia" w:ascii="仿宋" w:hAnsi="仿宋" w:eastAsia="仿宋" w:cs="仿宋"/>
                <w:color w:val="000000"/>
                <w:spacing w:val="2"/>
                <w:sz w:val="32"/>
                <w:szCs w:val="32"/>
                <w:lang w:eastAsia="zh-CN"/>
              </w:rPr>
              <w:fldChar w:fldCharType="separate"/>
            </w:r>
            <w:r>
              <w:rPr>
                <w:rFonts w:hint="eastAsia" w:ascii="仿宋" w:hAnsi="仿宋" w:eastAsia="仿宋" w:cs="仿宋"/>
                <w:color w:val="000000"/>
                <w:spacing w:val="2"/>
                <w:sz w:val="32"/>
                <w:szCs w:val="32"/>
                <w:lang w:eastAsia="zh-CN"/>
              </w:rPr>
              <w:t>www.creditchina.gov.cn)</w:t>
            </w:r>
            <w:r>
              <w:rPr>
                <w:rFonts w:hint="eastAsia" w:ascii="仿宋" w:hAnsi="仿宋" w:eastAsia="仿宋" w:cs="仿宋"/>
                <w:color w:val="000000"/>
                <w:spacing w:val="2"/>
                <w:sz w:val="32"/>
                <w:szCs w:val="32"/>
                <w:lang w:eastAsia="zh-CN"/>
              </w:rPr>
              <w:fldChar w:fldCharType="end"/>
            </w:r>
            <w:r>
              <w:rPr>
                <w:rFonts w:hint="eastAsia" w:ascii="仿宋" w:hAnsi="仿宋" w:eastAsia="仿宋" w:cs="仿宋"/>
                <w:color w:val="000000"/>
                <w:spacing w:val="2"/>
                <w:sz w:val="32"/>
                <w:szCs w:val="32"/>
                <w:lang w:eastAsia="zh-CN"/>
              </w:rPr>
              <w:t>、“中国政府采购网”(www.ccgp.gov.cn)网站查询公告发布之日起前三年的信用记录，无不良记录</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网页截图盖公章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6</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医疗器械备案证（非医疗设备、器械不用）</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7</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医疗器械注册证证（非医疗设备、器械不用）</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9</w:t>
            </w:r>
          </w:p>
        </w:tc>
        <w:tc>
          <w:tcPr>
            <w:tcW w:w="3176"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2022年以来2个同类业绩</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复印件</w:t>
            </w:r>
          </w:p>
        </w:tc>
      </w:tr>
    </w:tbl>
    <w:p>
      <w:pPr>
        <w:pStyle w:val="6"/>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5"/>
        <w:rPr>
          <w:rFonts w:hint="eastAsia"/>
          <w:lang w:eastAsia="zh-CN"/>
        </w:rPr>
      </w:pPr>
    </w:p>
    <w:p>
      <w:pPr>
        <w:pStyle w:val="5"/>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5"/>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5"/>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30"/>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287"/>
      <w:bookmarkStart w:id="9" w:name="_Toc439699522"/>
      <w:bookmarkStart w:id="10" w:name="_Toc24199"/>
      <w:bookmarkStart w:id="11" w:name="_Toc1800"/>
      <w:bookmarkStart w:id="12" w:name="_Toc199"/>
      <w:bookmarkStart w:id="13" w:name="_Toc16184"/>
      <w:bookmarkStart w:id="14" w:name="_Toc12426"/>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8"/>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8"/>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8"/>
        <w:spacing w:line="240" w:lineRule="auto"/>
        <w:ind w:firstLine="0"/>
        <w:rPr>
          <w:rFonts w:hint="eastAsia" w:ascii="仿宋" w:hAnsi="仿宋" w:eastAsia="仿宋" w:cs="仿宋"/>
          <w:color w:val="auto"/>
          <w:sz w:val="32"/>
          <w:szCs w:val="32"/>
        </w:rPr>
      </w:pPr>
    </w:p>
    <w:p>
      <w:pPr>
        <w:pStyle w:val="28"/>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5"/>
        <w:rPr>
          <w:rFonts w:hint="eastAsia" w:ascii="黑体" w:hAnsi="黑体" w:eastAsia="黑体" w:cs="黑体"/>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技术参数要求：</w:t>
      </w:r>
    </w:p>
    <w:tbl>
      <w:tblPr>
        <w:tblStyle w:val="17"/>
        <w:tblW w:w="7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83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标的名称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★最高单价限价</w:t>
            </w:r>
          </w:p>
        </w:tc>
        <w:tc>
          <w:tcPr>
            <w:tcW w:w="18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（元）</w:t>
            </w:r>
          </w:p>
        </w:tc>
        <w:tc>
          <w:tcPr>
            <w:tcW w:w="18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一次性使用医用橡胶检查手套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双</w:t>
            </w:r>
          </w:p>
        </w:tc>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32"/>
                <w:lang w:val="en-US" w:eastAsia="zh-CN" w:bidi="ar"/>
              </w:rPr>
              <w:t>1、规格：各型；</w:t>
            </w:r>
          </w:p>
        </w:tc>
        <w:tc>
          <w:tcPr>
            <w:tcW w:w="121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满足临床工作需要； 需提供样品，每种至少五双。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2、主要材质：天然橡胶胶乳制作；</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3、主要型号：光面、麻面、有粉、无粉；</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4、无菌，一次性使用。</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一次性使用灭菌橡胶外科手套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双</w:t>
            </w:r>
          </w:p>
        </w:tc>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1、规格：各型；</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2、主要材质：天然橡胶胶乳制作；</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3、主要型号：光面、麻面、有粉表面、无粉表面；</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4、无菌，一次性使用。</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一次性使用PE检查手套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2"/>
                <w:lang w:val="en-US" w:eastAsia="zh-CN" w:bidi="ar"/>
              </w:rPr>
              <w:t>包</w:t>
            </w:r>
          </w:p>
        </w:tc>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32"/>
                <w:lang w:val="en-US" w:eastAsia="zh-CN" w:bidi="ar"/>
              </w:rPr>
              <w:t>1、规格：中号，50双/包；</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32"/>
                <w:lang w:val="en-US" w:eastAsia="zh-CN" w:bidi="ar"/>
              </w:rPr>
              <w:t>2、材质;聚氯乙烯；</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3、无菌，一次性使用。</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医用丁腈检查手套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32"/>
                <w:lang w:val="en-US" w:eastAsia="zh-CN" w:bidi="ar"/>
              </w:rPr>
              <w:t>1、规格：各型；</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2、主要材质为：丁腈；</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3、非无菌。</w:t>
            </w: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响应时间：自提出采购需求后5天内供货</w:t>
      </w:r>
      <w:r>
        <w:rPr>
          <w:rFonts w:hint="eastAsia" w:ascii="仿宋" w:hAnsi="仿宋" w:eastAsia="仿宋" w:cs="仿宋"/>
          <w:color w:val="auto"/>
          <w:sz w:val="32"/>
          <w:szCs w:val="32"/>
          <w:lang w:val="en-US" w:eastAsia="zh-CN"/>
        </w:rPr>
        <w:t>。</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服务要求：医疗器械供应商须符合《医疗器械监督管理条例》要求并具有独立履行民事责任的主体资格、遵守国家法律法规，具有良好的信誉和诚实的商业道德、具有履行合同的能力</w:t>
      </w:r>
      <w:r>
        <w:rPr>
          <w:rFonts w:hint="eastAsia" w:ascii="仿宋" w:hAnsi="仿宋" w:eastAsia="仿宋" w:cs="仿宋"/>
          <w:color w:val="auto"/>
          <w:sz w:val="32"/>
          <w:szCs w:val="32"/>
          <w:lang w:val="en-US" w:eastAsia="zh-CN"/>
        </w:rPr>
        <w:t>。</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付款方式：按我院财务科要求付款</w:t>
      </w:r>
      <w:r>
        <w:rPr>
          <w:rFonts w:hint="eastAsia" w:ascii="仿宋" w:hAnsi="仿宋" w:eastAsia="仿宋" w:cs="仿宋"/>
          <w:color w:val="auto"/>
          <w:sz w:val="32"/>
          <w:szCs w:val="32"/>
          <w:lang w:val="en-US" w:eastAsia="zh-CN"/>
        </w:rPr>
        <w:t>。</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质量要求：供应商提供的医疗器械须符合《医疗器械注册管理办法》要求。</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供应商需按《采购清单》内的要求提供适量样品供临床试用，样品需附《说明书》和产品合格证明文件。</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p>
    <w:p>
      <w:pPr>
        <w:pStyle w:val="3"/>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p>
      <w:pPr>
        <w:pStyle w:val="16"/>
        <w:rPr>
          <w:rFonts w:hint="eastAsia" w:ascii="黑体" w:hAnsi="黑体" w:eastAsia="黑体" w:cs="黑体"/>
          <w:lang w:eastAsia="zh-CN"/>
        </w:rPr>
      </w:pPr>
    </w:p>
    <w:p>
      <w:pPr>
        <w:pStyle w:val="5"/>
        <w:rPr>
          <w:rFonts w:hint="eastAsia" w:ascii="黑体" w:hAnsi="黑体" w:eastAsia="黑体" w:cs="黑体"/>
          <w:lang w:eastAsia="zh-CN"/>
        </w:rPr>
      </w:pPr>
      <w:r>
        <w:rPr>
          <w:rFonts w:hint="eastAsia" w:ascii="黑体" w:hAnsi="黑体" w:eastAsia="黑体" w:cs="黑体"/>
          <w:sz w:val="32"/>
          <w:szCs w:val="40"/>
          <w:lang w:eastAsia="zh-CN"/>
        </w:rPr>
        <w:t>评分标准</w:t>
      </w:r>
      <w:r>
        <w:rPr>
          <w:rFonts w:hint="eastAsia" w:ascii="黑体" w:hAnsi="黑体" w:eastAsia="黑体" w:cs="黑体"/>
          <w:lang w:eastAsia="zh-CN"/>
        </w:rPr>
        <w:t>：</w:t>
      </w:r>
    </w:p>
    <w:tbl>
      <w:tblPr>
        <w:tblStyle w:val="17"/>
        <w:tblW w:w="9958" w:type="dxa"/>
        <w:jc w:val="center"/>
        <w:tblLayout w:type="fixed"/>
        <w:tblCellMar>
          <w:top w:w="0" w:type="dxa"/>
          <w:left w:w="108" w:type="dxa"/>
          <w:bottom w:w="0" w:type="dxa"/>
          <w:right w:w="108" w:type="dxa"/>
        </w:tblCellMar>
      </w:tblPr>
      <w:tblGrid>
        <w:gridCol w:w="579"/>
        <w:gridCol w:w="1023"/>
        <w:gridCol w:w="860"/>
        <w:gridCol w:w="6510"/>
        <w:gridCol w:w="986"/>
      </w:tblGrid>
      <w:tr>
        <w:tblPrEx>
          <w:tblCellMar>
            <w:top w:w="0" w:type="dxa"/>
            <w:left w:w="108" w:type="dxa"/>
            <w:bottom w:w="0" w:type="dxa"/>
            <w:right w:w="108" w:type="dxa"/>
          </w:tblCellMar>
        </w:tblPrEx>
        <w:trPr>
          <w:cantSplit/>
          <w:trHeight w:val="821"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序号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评分因素</w:t>
            </w:r>
          </w:p>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及权重</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分值</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评分标准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说 明</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报价</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60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满足招标文件要求且投标价格最低的投标报价为评标基准价，其价格分为满分。其他供应商的价格分统一按照下列公式计算：投标报价得分=(评标基准价÷投标报价)×60%×100；（最低价基准法）</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共同评审因素</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lang w:eastAsia="zh-CN"/>
              </w:rPr>
              <w:t>技术要求</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根据供应商对技术，完全响应文件要求没有负偏离的得满分，有一项负偏离的扣2分，扣完为止</w:t>
            </w:r>
            <w:r>
              <w:rPr>
                <w:rFonts w:hint="eastAsia" w:ascii="仿宋" w:hAnsi="仿宋" w:eastAsia="仿宋" w:cs="仿宋"/>
                <w:kern w:val="1"/>
                <w:sz w:val="32"/>
                <w:szCs w:val="32"/>
              </w:rPr>
              <w:t>。</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3</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p>
            <w:pPr>
              <w:spacing w:line="320" w:lineRule="atLeast"/>
              <w:jc w:val="center"/>
              <w:rPr>
                <w:rFonts w:hint="eastAsia" w:ascii="仿宋" w:hAnsi="仿宋" w:eastAsia="仿宋" w:cs="仿宋"/>
                <w:sz w:val="32"/>
                <w:szCs w:val="32"/>
              </w:rPr>
            </w:pPr>
            <w:r>
              <w:rPr>
                <w:rFonts w:hint="eastAsia" w:ascii="仿宋" w:hAnsi="仿宋" w:eastAsia="仿宋" w:cs="仿宋"/>
                <w:sz w:val="32"/>
                <w:szCs w:val="32"/>
                <w:lang w:val="en-US" w:eastAsia="zh-CN"/>
              </w:rPr>
              <w:t>样品质量</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kern w:val="1"/>
                <w:sz w:val="32"/>
                <w:szCs w:val="32"/>
                <w:lang w:val="en-US" w:eastAsia="zh-CN"/>
              </w:rPr>
              <w:t>20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对供应商提供的样品根据以下标准进行评审：1.产品性能2.业内口碑3.工艺制作精良4.包装完好5.样品试用结果进行评价，完全满足要求得满分20分，有一项不满足要求扣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4分，未按照文件要求提供样品此项不得分。</w:t>
            </w:r>
          </w:p>
          <w:p>
            <w:pPr>
              <w:rPr>
                <w:rFonts w:hint="eastAsia" w:ascii="仿宋" w:hAnsi="仿宋" w:eastAsia="仿宋" w:cs="仿宋"/>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06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售后方案</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服务方案进行综合评审：项目实施及售后服务方案包括但不限于①供货计划以投标文件为准。（包含但不限于产品出入库管理、配送流程）、②产品质量保证措施、③退、换货处理方案、④售后服务人员配备及职责分工。每项完整且合理得3.5分。</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bl>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C45F5704"/>
    <w:multiLevelType w:val="singleLevel"/>
    <w:tmpl w:val="C45F5704"/>
    <w:lvl w:ilvl="0" w:tentative="0">
      <w:start w:val="1"/>
      <w:numFmt w:val="chineseCounting"/>
      <w:suff w:val="nothing"/>
      <w:lvlText w:val="%1、"/>
      <w:lvlJc w:val="left"/>
      <w:rPr>
        <w:rFonts w:hint="eastAsia"/>
      </w:rPr>
    </w:lvl>
  </w:abstractNum>
  <w:abstractNum w:abstractNumId="2">
    <w:nsid w:val="1D6A547E"/>
    <w:multiLevelType w:val="singleLevel"/>
    <w:tmpl w:val="1D6A547E"/>
    <w:lvl w:ilvl="0" w:tentative="0">
      <w:start w:val="1"/>
      <w:numFmt w:val="decimal"/>
      <w:suff w:val="nothing"/>
      <w:lvlText w:val="%1、"/>
      <w:lvlJc w:val="left"/>
      <w:pPr>
        <w:ind w:left="2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ZTAyMGRmMjcwNTBmOGI2MDAwOTRkOTlkYmMzZjAifQ=="/>
  </w:docVars>
  <w:rsids>
    <w:rsidRoot w:val="20B86F62"/>
    <w:rsid w:val="00193E12"/>
    <w:rsid w:val="00FE51BA"/>
    <w:rsid w:val="01724615"/>
    <w:rsid w:val="01AC44D5"/>
    <w:rsid w:val="01DA1F83"/>
    <w:rsid w:val="02653FAC"/>
    <w:rsid w:val="038264FB"/>
    <w:rsid w:val="03E45948"/>
    <w:rsid w:val="03EB6F22"/>
    <w:rsid w:val="047A7398"/>
    <w:rsid w:val="04976AF6"/>
    <w:rsid w:val="05813897"/>
    <w:rsid w:val="05B93485"/>
    <w:rsid w:val="05DD44EC"/>
    <w:rsid w:val="05FA4A68"/>
    <w:rsid w:val="06C83EF1"/>
    <w:rsid w:val="07954271"/>
    <w:rsid w:val="07E32607"/>
    <w:rsid w:val="083F7233"/>
    <w:rsid w:val="08570094"/>
    <w:rsid w:val="0892424A"/>
    <w:rsid w:val="08A100E8"/>
    <w:rsid w:val="08D706EB"/>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CE2C6B"/>
    <w:rsid w:val="107F49DA"/>
    <w:rsid w:val="10B03C9B"/>
    <w:rsid w:val="11103FB2"/>
    <w:rsid w:val="11106DD4"/>
    <w:rsid w:val="113065C7"/>
    <w:rsid w:val="11551C0D"/>
    <w:rsid w:val="11630C29"/>
    <w:rsid w:val="12374305"/>
    <w:rsid w:val="12AB3D92"/>
    <w:rsid w:val="132D67B3"/>
    <w:rsid w:val="13320F8E"/>
    <w:rsid w:val="13E72023"/>
    <w:rsid w:val="159705C2"/>
    <w:rsid w:val="182F44F3"/>
    <w:rsid w:val="184E41FF"/>
    <w:rsid w:val="1865790E"/>
    <w:rsid w:val="189E6B7E"/>
    <w:rsid w:val="18E41C4F"/>
    <w:rsid w:val="18EA25BB"/>
    <w:rsid w:val="193B3817"/>
    <w:rsid w:val="19497A6B"/>
    <w:rsid w:val="1998123A"/>
    <w:rsid w:val="19DF1744"/>
    <w:rsid w:val="1A8B6B5A"/>
    <w:rsid w:val="1AE736E0"/>
    <w:rsid w:val="1AF5353D"/>
    <w:rsid w:val="1B493578"/>
    <w:rsid w:val="1B5723EF"/>
    <w:rsid w:val="1B93321C"/>
    <w:rsid w:val="1BAD400C"/>
    <w:rsid w:val="1C380FAC"/>
    <w:rsid w:val="1D623594"/>
    <w:rsid w:val="1DE81A96"/>
    <w:rsid w:val="1E4521C9"/>
    <w:rsid w:val="1EC85776"/>
    <w:rsid w:val="1F0B1E38"/>
    <w:rsid w:val="1F176598"/>
    <w:rsid w:val="1F782175"/>
    <w:rsid w:val="1FFB4E00"/>
    <w:rsid w:val="200C1DCC"/>
    <w:rsid w:val="2024443A"/>
    <w:rsid w:val="20B62B46"/>
    <w:rsid w:val="20B86F62"/>
    <w:rsid w:val="20DA469D"/>
    <w:rsid w:val="21141E9E"/>
    <w:rsid w:val="219C0C5F"/>
    <w:rsid w:val="223E3923"/>
    <w:rsid w:val="22CD72A0"/>
    <w:rsid w:val="22DC6C27"/>
    <w:rsid w:val="230709BE"/>
    <w:rsid w:val="2333299E"/>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A47F0F"/>
    <w:rsid w:val="31AE2E30"/>
    <w:rsid w:val="32145B6C"/>
    <w:rsid w:val="32482F63"/>
    <w:rsid w:val="32887A79"/>
    <w:rsid w:val="3367096B"/>
    <w:rsid w:val="34015BA1"/>
    <w:rsid w:val="34104944"/>
    <w:rsid w:val="34607C42"/>
    <w:rsid w:val="34AD3121"/>
    <w:rsid w:val="35850C85"/>
    <w:rsid w:val="358537EA"/>
    <w:rsid w:val="36206E51"/>
    <w:rsid w:val="3645059F"/>
    <w:rsid w:val="36FA0C0E"/>
    <w:rsid w:val="37564C34"/>
    <w:rsid w:val="37AF0C3F"/>
    <w:rsid w:val="381338B3"/>
    <w:rsid w:val="387820A1"/>
    <w:rsid w:val="391D2725"/>
    <w:rsid w:val="39241426"/>
    <w:rsid w:val="3A0A5821"/>
    <w:rsid w:val="3A13303C"/>
    <w:rsid w:val="3AE30FAC"/>
    <w:rsid w:val="3B3A67B9"/>
    <w:rsid w:val="3B572D45"/>
    <w:rsid w:val="3BB47094"/>
    <w:rsid w:val="3BD82555"/>
    <w:rsid w:val="3C396CD8"/>
    <w:rsid w:val="3D912EF9"/>
    <w:rsid w:val="3DA25E25"/>
    <w:rsid w:val="3E103198"/>
    <w:rsid w:val="3E346E0B"/>
    <w:rsid w:val="3E5C675F"/>
    <w:rsid w:val="3EBE1131"/>
    <w:rsid w:val="3F541632"/>
    <w:rsid w:val="4003626C"/>
    <w:rsid w:val="410C5355"/>
    <w:rsid w:val="416F0B2D"/>
    <w:rsid w:val="41817FB6"/>
    <w:rsid w:val="41894D39"/>
    <w:rsid w:val="41A91634"/>
    <w:rsid w:val="41C408EB"/>
    <w:rsid w:val="41E85D9F"/>
    <w:rsid w:val="421364F5"/>
    <w:rsid w:val="426D0D62"/>
    <w:rsid w:val="42893EDE"/>
    <w:rsid w:val="42C02DF3"/>
    <w:rsid w:val="42CD5B5D"/>
    <w:rsid w:val="43102EB4"/>
    <w:rsid w:val="431A22B8"/>
    <w:rsid w:val="439A1C32"/>
    <w:rsid w:val="43C05837"/>
    <w:rsid w:val="43EA5A8B"/>
    <w:rsid w:val="440E56DA"/>
    <w:rsid w:val="443E01E7"/>
    <w:rsid w:val="44665196"/>
    <w:rsid w:val="44CD6391"/>
    <w:rsid w:val="44D66D93"/>
    <w:rsid w:val="45484D77"/>
    <w:rsid w:val="45976AE3"/>
    <w:rsid w:val="45D1027C"/>
    <w:rsid w:val="46653F5C"/>
    <w:rsid w:val="4670116D"/>
    <w:rsid w:val="46BF177E"/>
    <w:rsid w:val="46CC0FBC"/>
    <w:rsid w:val="46F821E8"/>
    <w:rsid w:val="47E92A18"/>
    <w:rsid w:val="484F3834"/>
    <w:rsid w:val="486A1208"/>
    <w:rsid w:val="487E3CCE"/>
    <w:rsid w:val="491D7010"/>
    <w:rsid w:val="49F61C6A"/>
    <w:rsid w:val="4A2F0F8F"/>
    <w:rsid w:val="4B21070C"/>
    <w:rsid w:val="4C6D260E"/>
    <w:rsid w:val="4CA65850"/>
    <w:rsid w:val="4D4867BB"/>
    <w:rsid w:val="4D7854C0"/>
    <w:rsid w:val="4E1C022A"/>
    <w:rsid w:val="4E1E1D89"/>
    <w:rsid w:val="4FA771C2"/>
    <w:rsid w:val="4FDC7DDA"/>
    <w:rsid w:val="5003209D"/>
    <w:rsid w:val="508E2B4E"/>
    <w:rsid w:val="524A480D"/>
    <w:rsid w:val="5263348D"/>
    <w:rsid w:val="527E7420"/>
    <w:rsid w:val="5292301A"/>
    <w:rsid w:val="52C10CD7"/>
    <w:rsid w:val="52F64CB8"/>
    <w:rsid w:val="52FB39A7"/>
    <w:rsid w:val="531641E9"/>
    <w:rsid w:val="5446604D"/>
    <w:rsid w:val="547E1AE0"/>
    <w:rsid w:val="54F554AC"/>
    <w:rsid w:val="551A0D5D"/>
    <w:rsid w:val="55EE4C06"/>
    <w:rsid w:val="561A148B"/>
    <w:rsid w:val="565B213D"/>
    <w:rsid w:val="56D444B4"/>
    <w:rsid w:val="572D0183"/>
    <w:rsid w:val="57567F4A"/>
    <w:rsid w:val="57667B7B"/>
    <w:rsid w:val="578D66D2"/>
    <w:rsid w:val="58367041"/>
    <w:rsid w:val="583A1E71"/>
    <w:rsid w:val="584A40DF"/>
    <w:rsid w:val="587813EB"/>
    <w:rsid w:val="589814E3"/>
    <w:rsid w:val="58B969E6"/>
    <w:rsid w:val="58C42CE6"/>
    <w:rsid w:val="59035A6B"/>
    <w:rsid w:val="592C7507"/>
    <w:rsid w:val="599907F5"/>
    <w:rsid w:val="59A37B89"/>
    <w:rsid w:val="59D35B7E"/>
    <w:rsid w:val="5AD77D82"/>
    <w:rsid w:val="5B134CBA"/>
    <w:rsid w:val="5B214FE3"/>
    <w:rsid w:val="5C557763"/>
    <w:rsid w:val="5CC74DB0"/>
    <w:rsid w:val="5DA41796"/>
    <w:rsid w:val="5DC167D7"/>
    <w:rsid w:val="5F0E08C6"/>
    <w:rsid w:val="5F5075CA"/>
    <w:rsid w:val="5F7007A2"/>
    <w:rsid w:val="5F85487D"/>
    <w:rsid w:val="5FB650D9"/>
    <w:rsid w:val="6096215E"/>
    <w:rsid w:val="62B86D17"/>
    <w:rsid w:val="62C824CA"/>
    <w:rsid w:val="642A2386"/>
    <w:rsid w:val="64677320"/>
    <w:rsid w:val="653C0392"/>
    <w:rsid w:val="65457634"/>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F5199F"/>
    <w:rsid w:val="6C81461E"/>
    <w:rsid w:val="6CE610BF"/>
    <w:rsid w:val="6CED312F"/>
    <w:rsid w:val="6D1916FD"/>
    <w:rsid w:val="6D226C43"/>
    <w:rsid w:val="6D535020"/>
    <w:rsid w:val="6DCF5925"/>
    <w:rsid w:val="6E383ABA"/>
    <w:rsid w:val="6E8B493F"/>
    <w:rsid w:val="6EA3545A"/>
    <w:rsid w:val="6F9F7F7D"/>
    <w:rsid w:val="719A4F83"/>
    <w:rsid w:val="71DE50A5"/>
    <w:rsid w:val="722B548E"/>
    <w:rsid w:val="722E4AEA"/>
    <w:rsid w:val="73683978"/>
    <w:rsid w:val="73F43F5E"/>
    <w:rsid w:val="7438150C"/>
    <w:rsid w:val="746F037C"/>
    <w:rsid w:val="74F82EAA"/>
    <w:rsid w:val="75457DB7"/>
    <w:rsid w:val="7563067A"/>
    <w:rsid w:val="75E55D62"/>
    <w:rsid w:val="76466533"/>
    <w:rsid w:val="769413F2"/>
    <w:rsid w:val="77F97E1C"/>
    <w:rsid w:val="785111E8"/>
    <w:rsid w:val="78E831F4"/>
    <w:rsid w:val="79AC141B"/>
    <w:rsid w:val="79B51E35"/>
    <w:rsid w:val="79EA27D4"/>
    <w:rsid w:val="7AE23540"/>
    <w:rsid w:val="7BE17F0A"/>
    <w:rsid w:val="7C29457B"/>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3">
    <w:name w:val="heading 2"/>
    <w:basedOn w:val="1"/>
    <w:next w:val="1"/>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spacing w:after="120" w:afterLines="0" w:afterAutospacing="0"/>
    </w:pPr>
  </w:style>
  <w:style w:type="paragraph" w:styleId="6">
    <w:name w:val="Quote"/>
    <w:basedOn w:val="1"/>
    <w:next w:val="1"/>
    <w:qFormat/>
    <w:uiPriority w:val="0"/>
    <w:rPr>
      <w:i/>
      <w:iCs/>
      <w:color w:val="000000"/>
      <w:szCs w:val="22"/>
    </w:rPr>
  </w:style>
  <w:style w:type="paragraph" w:styleId="7">
    <w:name w:val="Body Text Indent"/>
    <w:basedOn w:val="1"/>
    <w:next w:val="8"/>
    <w:qFormat/>
    <w:uiPriority w:val="0"/>
    <w:pPr>
      <w:spacing w:after="120" w:afterLines="0"/>
      <w:ind w:left="420" w:leftChars="200"/>
    </w:pPr>
  </w:style>
  <w:style w:type="paragraph" w:styleId="8">
    <w:name w:val="envelope return"/>
    <w:basedOn w:val="1"/>
    <w:qFormat/>
    <w:uiPriority w:val="0"/>
    <w:pPr>
      <w:snapToGrid w:val="0"/>
    </w:pPr>
    <w:rPr>
      <w:rFonts w:ascii="Arial" w:hAnsi="Arial"/>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628"/>
      </w:tabs>
      <w:spacing w:line="360" w:lineRule="auto"/>
      <w:jc w:val="center"/>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5"/>
    <w:qFormat/>
    <w:uiPriority w:val="0"/>
    <w:pPr>
      <w:ind w:firstLine="420" w:firstLineChars="100"/>
    </w:pPr>
    <w:rPr>
      <w:rFonts w:ascii="Times New Roman" w:hAnsi="Times New Roman" w:eastAsia="宋体" w:cs="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qFormat/>
    <w:uiPriority w:val="0"/>
    <w:rPr>
      <w:color w:val="0000FF"/>
      <w:u w:val="single"/>
    </w:rPr>
  </w:style>
  <w:style w:type="character" w:customStyle="1" w:styleId="23">
    <w:name w:val="标题 1 Char"/>
    <w:link w:val="2"/>
    <w:qFormat/>
    <w:uiPriority w:val="0"/>
    <w:rPr>
      <w:rFonts w:hint="eastAsia" w:ascii="Times New Roman" w:hAnsi="Times New Roman" w:eastAsia="宋体"/>
      <w:b/>
      <w:color w:val="000000"/>
      <w:kern w:val="44"/>
      <w:sz w:val="44"/>
      <w:lang w:val="zh-CN"/>
    </w:rPr>
  </w:style>
  <w:style w:type="paragraph" w:customStyle="1" w:styleId="24">
    <w:name w:val="正文首行缩进两字符"/>
    <w:basedOn w:val="1"/>
    <w:qFormat/>
    <w:uiPriority w:val="0"/>
    <w:pPr>
      <w:spacing w:line="360" w:lineRule="auto"/>
      <w:ind w:firstLine="200" w:firstLineChars="200"/>
    </w:pPr>
  </w:style>
  <w:style w:type="character" w:customStyle="1" w:styleId="25">
    <w:name w:val="font21"/>
    <w:basedOn w:val="19"/>
    <w:qFormat/>
    <w:uiPriority w:val="0"/>
    <w:rPr>
      <w:rFonts w:ascii="Calibri" w:hAnsi="Calibri" w:cs="Calibri"/>
      <w:color w:val="000000"/>
      <w:sz w:val="18"/>
      <w:szCs w:val="18"/>
      <w:u w:val="none"/>
    </w:rPr>
  </w:style>
  <w:style w:type="character" w:customStyle="1" w:styleId="26">
    <w:name w:val="font01"/>
    <w:basedOn w:val="19"/>
    <w:qFormat/>
    <w:uiPriority w:val="0"/>
    <w:rPr>
      <w:rFonts w:hint="eastAsia" w:ascii="宋体" w:hAnsi="宋体" w:eastAsia="宋体" w:cs="宋体"/>
      <w:color w:val="000000"/>
      <w:sz w:val="18"/>
      <w:szCs w:val="18"/>
      <w:u w:val="none"/>
    </w:rPr>
  </w:style>
  <w:style w:type="paragraph" w:styleId="27">
    <w:name w:val="List Paragraph"/>
    <w:basedOn w:val="1"/>
    <w:qFormat/>
    <w:uiPriority w:val="34"/>
    <w:pPr>
      <w:ind w:firstLine="420" w:firstLineChars="200"/>
    </w:pPr>
    <w:rPr>
      <w:rFonts w:ascii="Calibri" w:hAnsi="Calibri" w:eastAsia="宋体" w:cs="Times New Roman"/>
      <w:sz w:val="21"/>
      <w:szCs w:val="22"/>
    </w:rPr>
  </w:style>
  <w:style w:type="paragraph" w:customStyle="1" w:styleId="28">
    <w:name w:val="文章正文"/>
    <w:basedOn w:val="1"/>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29">
    <w:name w:val="_Style 1"/>
    <w:basedOn w:val="1"/>
    <w:qFormat/>
    <w:uiPriority w:val="34"/>
    <w:pPr>
      <w:ind w:firstLine="420" w:firstLineChars="200"/>
    </w:pPr>
  </w:style>
  <w:style w:type="paragraph" w:customStyle="1" w:styleId="30">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2">
    <w:name w:val="font11"/>
    <w:basedOn w:val="1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5236</Words>
  <Characters>5390</Characters>
  <Lines>0</Lines>
  <Paragraphs>0</Paragraphs>
  <TotalTime>10</TotalTime>
  <ScaleCrop>false</ScaleCrop>
  <LinksUpToDate>false</LinksUpToDate>
  <CharactersWithSpaces>5586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天哥</cp:lastModifiedBy>
  <cp:lastPrinted>2019-09-23T08:20:00Z</cp:lastPrinted>
  <dcterms:modified xsi:type="dcterms:W3CDTF">2023-12-11T02:25:04Z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03234C4341304975B0E86DFB053745A7_13</vt:lpwstr>
  </property>
</Properties>
</file>